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D1" w:rsidRDefault="000E6CD1" w:rsidP="000E6CD1">
      <w:pPr>
        <w:pBdr>
          <w:bottom w:val="single" w:sz="12" w:space="1" w:color="auto"/>
        </w:pBdr>
        <w:rPr>
          <w:b/>
          <w:sz w:val="28"/>
          <w:szCs w:val="28"/>
        </w:rPr>
      </w:pPr>
      <w:r>
        <w:rPr>
          <w:b/>
          <w:sz w:val="28"/>
          <w:szCs w:val="28"/>
        </w:rPr>
        <w:t>ГОДИШЕН ДОКЛАД НА ПРОВЕРИТЕЛНАТА КОМИСИЯ ПРИ НАРОДНО ЧИТАЛИЩЕ ,,ХРИСТО БОТЕВ – 1942,, С. РОГОЗИНА</w:t>
      </w:r>
      <w:r w:rsidR="00043490">
        <w:rPr>
          <w:b/>
          <w:sz w:val="28"/>
          <w:szCs w:val="28"/>
        </w:rPr>
        <w:t xml:space="preserve"> ЗА  2021 ГОДИНА</w:t>
      </w:r>
    </w:p>
    <w:p w:rsidR="000E6CD1" w:rsidRPr="00043490" w:rsidRDefault="00043490" w:rsidP="000E6CD1">
      <w:pPr>
        <w:rPr>
          <w:b/>
          <w:i/>
          <w:sz w:val="24"/>
          <w:szCs w:val="24"/>
        </w:rPr>
      </w:pPr>
      <w:r>
        <w:rPr>
          <w:b/>
          <w:sz w:val="28"/>
          <w:szCs w:val="28"/>
        </w:rPr>
        <w:t xml:space="preserve">                                                                                                 </w:t>
      </w:r>
      <w:r>
        <w:rPr>
          <w:b/>
          <w:i/>
          <w:sz w:val="24"/>
          <w:szCs w:val="24"/>
        </w:rPr>
        <w:t>Приложение 3</w:t>
      </w:r>
    </w:p>
    <w:p w:rsidR="00066FD1" w:rsidRDefault="00066FD1" w:rsidP="004D534B">
      <w:pPr>
        <w:pStyle w:val="ListParagraph"/>
        <w:ind w:left="480"/>
        <w:rPr>
          <w:sz w:val="28"/>
          <w:szCs w:val="28"/>
        </w:rPr>
      </w:pPr>
      <w:r>
        <w:rPr>
          <w:sz w:val="28"/>
          <w:szCs w:val="28"/>
        </w:rPr>
        <w:t>Настоящия доклад е резултат от извършения одит с цел осъществяване на контролните функции на Проверителната комисия върху дейността на Настоятелството, Председателя и секретаря на читалището по спазване на Закона, Устава и решение на Общото събрание, който обхваща цялостната дейност в Народно читалище ,,Христо Ботев – 1942,, с. Рогозина.</w:t>
      </w:r>
    </w:p>
    <w:p w:rsidR="00D13655" w:rsidRDefault="00066FD1" w:rsidP="004D534B">
      <w:pPr>
        <w:pStyle w:val="ListParagraph"/>
        <w:ind w:left="480"/>
        <w:rPr>
          <w:sz w:val="28"/>
          <w:szCs w:val="28"/>
        </w:rPr>
      </w:pPr>
      <w:r>
        <w:rPr>
          <w:sz w:val="28"/>
          <w:szCs w:val="28"/>
        </w:rPr>
        <w:t xml:space="preserve">Проверката е извършена в изпълнение на чл. 27 /3/ от Устава на читалището и съответствие със Закона на народните читалища и другите относими нормативни актове. С решение на Читалищното </w:t>
      </w:r>
      <w:r w:rsidR="00D13655">
        <w:rPr>
          <w:sz w:val="28"/>
          <w:szCs w:val="28"/>
        </w:rPr>
        <w:t>настоятелство беше разпоредено да бъде предоставена на разположение на комисията за времето на проверката кабинета на секретаря, където се съхраняват всички изискани документи и са на разроложение при проверката.</w:t>
      </w:r>
    </w:p>
    <w:p w:rsidR="00D13655" w:rsidRDefault="00D13655" w:rsidP="004D534B">
      <w:pPr>
        <w:pStyle w:val="ListParagraph"/>
        <w:ind w:left="480"/>
        <w:rPr>
          <w:sz w:val="28"/>
          <w:szCs w:val="28"/>
        </w:rPr>
      </w:pPr>
      <w:r>
        <w:rPr>
          <w:sz w:val="28"/>
          <w:szCs w:val="28"/>
        </w:rPr>
        <w:t>Уважаеми членове на на НЧ,,Христо Ботев – 1942,, с. Рогозина, във връзка с провеждането но Годишно-отчетно събрание Проверителна комисия в състав;</w:t>
      </w:r>
    </w:p>
    <w:p w:rsidR="00D13655" w:rsidRPr="00D13655" w:rsidRDefault="00D13655" w:rsidP="00D13655">
      <w:pPr>
        <w:pStyle w:val="ListParagraph"/>
        <w:numPr>
          <w:ilvl w:val="0"/>
          <w:numId w:val="7"/>
        </w:numPr>
        <w:rPr>
          <w:i/>
          <w:sz w:val="28"/>
          <w:szCs w:val="28"/>
        </w:rPr>
      </w:pPr>
      <w:r>
        <w:rPr>
          <w:sz w:val="28"/>
          <w:szCs w:val="28"/>
        </w:rPr>
        <w:t>Юлия Михайлова Александрова – Председател ПК</w:t>
      </w:r>
    </w:p>
    <w:p w:rsidR="00D13655" w:rsidRPr="00D13655" w:rsidRDefault="00D13655" w:rsidP="00D13655">
      <w:pPr>
        <w:pStyle w:val="ListParagraph"/>
        <w:numPr>
          <w:ilvl w:val="0"/>
          <w:numId w:val="7"/>
        </w:numPr>
        <w:rPr>
          <w:i/>
          <w:sz w:val="28"/>
          <w:szCs w:val="28"/>
        </w:rPr>
      </w:pPr>
      <w:r>
        <w:rPr>
          <w:sz w:val="28"/>
          <w:szCs w:val="28"/>
        </w:rPr>
        <w:t>Али Сюлейманов Исмаилов – член ПК</w:t>
      </w:r>
    </w:p>
    <w:p w:rsidR="004801E3" w:rsidRPr="00780328" w:rsidRDefault="00D13655" w:rsidP="00D13655">
      <w:pPr>
        <w:pStyle w:val="ListParagraph"/>
        <w:numPr>
          <w:ilvl w:val="0"/>
          <w:numId w:val="7"/>
        </w:numPr>
        <w:rPr>
          <w:i/>
          <w:sz w:val="28"/>
          <w:szCs w:val="28"/>
        </w:rPr>
      </w:pPr>
      <w:r>
        <w:rPr>
          <w:sz w:val="28"/>
          <w:szCs w:val="28"/>
        </w:rPr>
        <w:t>Орхан Али Али – член ПК</w:t>
      </w:r>
    </w:p>
    <w:p w:rsidR="00780328" w:rsidRDefault="00780328" w:rsidP="00780328">
      <w:pPr>
        <w:rPr>
          <w:sz w:val="28"/>
          <w:szCs w:val="28"/>
        </w:rPr>
      </w:pPr>
      <w:r>
        <w:rPr>
          <w:sz w:val="28"/>
          <w:szCs w:val="28"/>
        </w:rPr>
        <w:t xml:space="preserve">Извършихме проверка на финансовата и административно-деловата част на читалището. Проверката </w:t>
      </w:r>
      <w:r w:rsidR="00043490">
        <w:rPr>
          <w:sz w:val="28"/>
          <w:szCs w:val="28"/>
        </w:rPr>
        <w:t>се извърши за пер</w:t>
      </w:r>
      <w:r w:rsidR="008215A4">
        <w:rPr>
          <w:sz w:val="28"/>
          <w:szCs w:val="28"/>
        </w:rPr>
        <w:t>иода 01.01.2021 год.- 31.12.2021</w:t>
      </w:r>
      <w:r>
        <w:rPr>
          <w:sz w:val="28"/>
          <w:szCs w:val="28"/>
        </w:rPr>
        <w:t xml:space="preserve"> год. При извършване на проверката присъстваха;</w:t>
      </w:r>
    </w:p>
    <w:p w:rsidR="00780328" w:rsidRDefault="00780328" w:rsidP="00780328">
      <w:pPr>
        <w:pStyle w:val="ListParagraph"/>
        <w:numPr>
          <w:ilvl w:val="0"/>
          <w:numId w:val="8"/>
        </w:numPr>
        <w:rPr>
          <w:sz w:val="28"/>
          <w:szCs w:val="28"/>
        </w:rPr>
      </w:pPr>
      <w:r>
        <w:rPr>
          <w:sz w:val="28"/>
          <w:szCs w:val="28"/>
        </w:rPr>
        <w:t>Юзджан Ибрямов Ахмедов – Председател и член на Читалищното настоятелство, и</w:t>
      </w:r>
    </w:p>
    <w:p w:rsidR="00780328" w:rsidRDefault="00780328" w:rsidP="00780328">
      <w:pPr>
        <w:pStyle w:val="ListParagraph"/>
        <w:numPr>
          <w:ilvl w:val="0"/>
          <w:numId w:val="8"/>
        </w:numPr>
        <w:rPr>
          <w:sz w:val="28"/>
          <w:szCs w:val="28"/>
        </w:rPr>
      </w:pPr>
      <w:r>
        <w:rPr>
          <w:sz w:val="28"/>
          <w:szCs w:val="28"/>
        </w:rPr>
        <w:t>Хюлия Биролова Асанова – секретар и материално отговорно лице на читалището.</w:t>
      </w:r>
    </w:p>
    <w:p w:rsidR="00780328" w:rsidRDefault="00780328" w:rsidP="00780328">
      <w:pPr>
        <w:rPr>
          <w:sz w:val="28"/>
          <w:szCs w:val="28"/>
        </w:rPr>
      </w:pPr>
      <w:r>
        <w:rPr>
          <w:sz w:val="28"/>
          <w:szCs w:val="28"/>
        </w:rPr>
        <w:t>Годишния доклад на Проверителната комисия констатира следното;</w:t>
      </w:r>
    </w:p>
    <w:p w:rsidR="00444FA1" w:rsidRDefault="00444FA1" w:rsidP="00780328">
      <w:pPr>
        <w:rPr>
          <w:sz w:val="28"/>
          <w:szCs w:val="28"/>
        </w:rPr>
      </w:pPr>
      <w:r>
        <w:rPr>
          <w:sz w:val="28"/>
          <w:szCs w:val="28"/>
        </w:rPr>
        <w:t>През годината читалището е получила приходи от; Държавна и Общинска субсидия, членски внос и рента от наем земд. земя.</w:t>
      </w:r>
    </w:p>
    <w:p w:rsidR="00444FA1" w:rsidRDefault="008215A4" w:rsidP="00780328">
      <w:pPr>
        <w:rPr>
          <w:sz w:val="28"/>
          <w:szCs w:val="28"/>
        </w:rPr>
      </w:pPr>
      <w:r>
        <w:rPr>
          <w:sz w:val="28"/>
          <w:szCs w:val="28"/>
        </w:rPr>
        <w:lastRenderedPageBreak/>
        <w:t>Държавна субсидия – 11 52</w:t>
      </w:r>
      <w:r w:rsidR="00444FA1">
        <w:rPr>
          <w:sz w:val="28"/>
          <w:szCs w:val="28"/>
        </w:rPr>
        <w:t>0 лв.</w:t>
      </w:r>
    </w:p>
    <w:p w:rsidR="00444FA1" w:rsidRDefault="00444FA1" w:rsidP="00780328">
      <w:pPr>
        <w:rPr>
          <w:sz w:val="28"/>
          <w:szCs w:val="28"/>
        </w:rPr>
      </w:pPr>
      <w:r>
        <w:rPr>
          <w:sz w:val="28"/>
          <w:szCs w:val="28"/>
        </w:rPr>
        <w:t>Об</w:t>
      </w:r>
      <w:r w:rsidR="008215A4">
        <w:rPr>
          <w:sz w:val="28"/>
          <w:szCs w:val="28"/>
        </w:rPr>
        <w:t>щинска субсидия – 2 475</w:t>
      </w:r>
      <w:r>
        <w:rPr>
          <w:sz w:val="28"/>
          <w:szCs w:val="28"/>
        </w:rPr>
        <w:t xml:space="preserve"> лв.</w:t>
      </w:r>
    </w:p>
    <w:p w:rsidR="00444FA1" w:rsidRDefault="00444FA1" w:rsidP="00780328">
      <w:pPr>
        <w:rPr>
          <w:sz w:val="28"/>
          <w:szCs w:val="28"/>
        </w:rPr>
      </w:pPr>
      <w:r>
        <w:rPr>
          <w:sz w:val="28"/>
          <w:szCs w:val="28"/>
        </w:rPr>
        <w:t>Членски внос – 59 лв.</w:t>
      </w:r>
    </w:p>
    <w:p w:rsidR="00444FA1" w:rsidRDefault="008215A4" w:rsidP="00780328">
      <w:pPr>
        <w:rPr>
          <w:sz w:val="28"/>
          <w:szCs w:val="28"/>
        </w:rPr>
      </w:pPr>
      <w:r>
        <w:rPr>
          <w:sz w:val="28"/>
          <w:szCs w:val="28"/>
        </w:rPr>
        <w:t>Наем земд. земя – 4 499,55</w:t>
      </w:r>
      <w:r w:rsidR="00444FA1">
        <w:rPr>
          <w:sz w:val="28"/>
          <w:szCs w:val="28"/>
        </w:rPr>
        <w:t xml:space="preserve"> лв.</w:t>
      </w:r>
    </w:p>
    <w:p w:rsidR="000B3237" w:rsidRPr="008215A4" w:rsidRDefault="000B3237" w:rsidP="008215A4">
      <w:pPr>
        <w:rPr>
          <w:sz w:val="28"/>
          <w:szCs w:val="28"/>
        </w:rPr>
      </w:pPr>
      <w:r>
        <w:rPr>
          <w:sz w:val="28"/>
          <w:szCs w:val="28"/>
        </w:rPr>
        <w:t xml:space="preserve">Държавната субсидия е изразходвана изцяло за заплати и осигуровки на щатния персонал, като не се допуска отклонения дори за </w:t>
      </w:r>
      <w:r w:rsidR="008215A4">
        <w:rPr>
          <w:sz w:val="28"/>
          <w:szCs w:val="28"/>
        </w:rPr>
        <w:t>присъщи дейности на читалището.</w:t>
      </w:r>
    </w:p>
    <w:p w:rsidR="000B3237" w:rsidRDefault="000B3237" w:rsidP="000B3237">
      <w:pPr>
        <w:rPr>
          <w:sz w:val="28"/>
          <w:szCs w:val="28"/>
        </w:rPr>
      </w:pPr>
      <w:r>
        <w:rPr>
          <w:sz w:val="28"/>
          <w:szCs w:val="28"/>
        </w:rPr>
        <w:t>Субсидията от Общински съвет гр. Ген. Тошево е изразходвана с решение на Читалищното настоятелство и съгласието на Председателя на читалището за целта.</w:t>
      </w:r>
      <w:r w:rsidR="00CD7100">
        <w:rPr>
          <w:sz w:val="28"/>
          <w:szCs w:val="28"/>
        </w:rPr>
        <w:t xml:space="preserve"> Собствените приходи от наем земд. земя и членски внос са изразходвани с решението отново на Председателя на читалището главно за; материали , командировки, външни услуги в т.ч. счетоводно обслужване и данъци. Средствата на читалището се съхраняват в Банка ДСК-ЕАД гр. Ген. Тошево. Читалището няма данъчни и други задължения. За реализираните собствени приходи през текущата година са подадени данъчни декларации. Приходните и разходните документи са номерирани и заверени в касова книга.</w:t>
      </w:r>
      <w:r w:rsidR="00661A84">
        <w:rPr>
          <w:sz w:val="28"/>
          <w:szCs w:val="28"/>
        </w:rPr>
        <w:t xml:space="preserve"> Зад всички оправдателни документи има подпис и печат на Предс</w:t>
      </w:r>
      <w:r w:rsidR="008215A4">
        <w:rPr>
          <w:sz w:val="28"/>
          <w:szCs w:val="28"/>
        </w:rPr>
        <w:t>едателя на читалището. През 2021 год. са набавени 53</w:t>
      </w:r>
      <w:r w:rsidR="00661A84">
        <w:rPr>
          <w:sz w:val="28"/>
          <w:szCs w:val="28"/>
        </w:rPr>
        <w:t xml:space="preserve"> том</w:t>
      </w:r>
      <w:r w:rsidR="008215A4">
        <w:rPr>
          <w:sz w:val="28"/>
          <w:szCs w:val="28"/>
        </w:rPr>
        <w:t>а литература.</w:t>
      </w:r>
      <w:r w:rsidR="00661A84">
        <w:rPr>
          <w:sz w:val="28"/>
          <w:szCs w:val="28"/>
        </w:rPr>
        <w:t xml:space="preserve"> Читалищн</w:t>
      </w:r>
      <w:r w:rsidR="008215A4">
        <w:rPr>
          <w:sz w:val="28"/>
          <w:szCs w:val="28"/>
        </w:rPr>
        <w:t>ата библиотека разполага с 2 200</w:t>
      </w:r>
      <w:r w:rsidR="00661A84">
        <w:rPr>
          <w:sz w:val="28"/>
          <w:szCs w:val="28"/>
        </w:rPr>
        <w:t xml:space="preserve"> библиотечни единици предоставени на свободен </w:t>
      </w:r>
      <w:r w:rsidR="008215A4">
        <w:rPr>
          <w:sz w:val="28"/>
          <w:szCs w:val="28"/>
        </w:rPr>
        <w:t>достъп. През годината е имало 13 читатели и 4 новорегистрирани читатели</w:t>
      </w:r>
      <w:r w:rsidR="007443B4">
        <w:rPr>
          <w:sz w:val="28"/>
          <w:szCs w:val="28"/>
        </w:rPr>
        <w:t>. Като са били раздадени 103 книги.</w:t>
      </w:r>
      <w:r w:rsidR="00661A84">
        <w:rPr>
          <w:sz w:val="28"/>
          <w:szCs w:val="28"/>
        </w:rPr>
        <w:t xml:space="preserve"> Води се редовно книга за движение на библиотечния фонд. Приходите от членски внос се събират и отчитат до края на всяка календарна година. Тук искаме да благодарим на всички членове на читалището за спазването на срока. Водят се редовно и надлежно;</w:t>
      </w:r>
      <w:r w:rsidR="00DE2656">
        <w:rPr>
          <w:sz w:val="28"/>
          <w:szCs w:val="28"/>
        </w:rPr>
        <w:t xml:space="preserve"> протоколна книга, днедник за водени членове на читалището, дневник за проведени мероприятия и художествена самодейност, двевник ЕДСД, двевник за периодичен и начален инструктаж, както и дневник за включване и изключване на ел. захранването през зимния сезон. До края на всяка календарна година се прави ивентаризационен опис и сравнителна ведомост на читалищното имущество, като всички имущества са на лице, а тези които са неползваеми са бракувани по преценка на Прове</w:t>
      </w:r>
      <w:r w:rsidR="007443B4">
        <w:rPr>
          <w:sz w:val="28"/>
          <w:szCs w:val="28"/>
        </w:rPr>
        <w:t xml:space="preserve">рителната комисия. </w:t>
      </w:r>
    </w:p>
    <w:p w:rsidR="005A5B4F" w:rsidRDefault="005A5B4F" w:rsidP="000B3237">
      <w:pPr>
        <w:rPr>
          <w:sz w:val="28"/>
          <w:szCs w:val="28"/>
        </w:rPr>
      </w:pPr>
      <w:r>
        <w:rPr>
          <w:sz w:val="28"/>
          <w:szCs w:val="28"/>
        </w:rPr>
        <w:lastRenderedPageBreak/>
        <w:t>През годината Читал</w:t>
      </w:r>
      <w:r w:rsidR="007443B4">
        <w:rPr>
          <w:sz w:val="28"/>
          <w:szCs w:val="28"/>
        </w:rPr>
        <w:t>ищното настоятелство е провело 6</w:t>
      </w:r>
      <w:r>
        <w:rPr>
          <w:sz w:val="28"/>
          <w:szCs w:val="28"/>
        </w:rPr>
        <w:t xml:space="preserve"> заседания на които е вземала решения и е ръководило цялостния организационен живот на читалището, видно от водените протоколи, които са подписани и заверени от Председателя и членовете на Читалищното настоятелство. При Проверителната комисия не са постъпвали предложения от членовете на читалището, по която да взема отношения. В заключение на база на извършената проверка на финансовата </w:t>
      </w:r>
      <w:r w:rsidR="000759FC">
        <w:rPr>
          <w:sz w:val="28"/>
          <w:szCs w:val="28"/>
        </w:rPr>
        <w:t>и административно-деловодна отчетност, Проверителната комисия предлага да се приеме финансовия отчет на читал</w:t>
      </w:r>
      <w:r w:rsidR="007443B4">
        <w:rPr>
          <w:sz w:val="28"/>
          <w:szCs w:val="28"/>
        </w:rPr>
        <w:t>ището от Общото събрание за 2021</w:t>
      </w:r>
      <w:r w:rsidR="000759FC">
        <w:rPr>
          <w:sz w:val="28"/>
          <w:szCs w:val="28"/>
        </w:rPr>
        <w:t xml:space="preserve"> год.</w:t>
      </w:r>
    </w:p>
    <w:p w:rsidR="000759FC" w:rsidRDefault="000759FC" w:rsidP="000B3237">
      <w:pPr>
        <w:rPr>
          <w:sz w:val="28"/>
          <w:szCs w:val="28"/>
        </w:rPr>
      </w:pPr>
      <w:r>
        <w:rPr>
          <w:sz w:val="28"/>
          <w:szCs w:val="28"/>
        </w:rPr>
        <w:t>Ние извършихм</w:t>
      </w:r>
      <w:r w:rsidR="007443B4">
        <w:rPr>
          <w:sz w:val="28"/>
          <w:szCs w:val="28"/>
        </w:rPr>
        <w:t>е проверка за периода 01.01.2021-31.12.2021</w:t>
      </w:r>
      <w:r>
        <w:rPr>
          <w:sz w:val="28"/>
          <w:szCs w:val="28"/>
        </w:rPr>
        <w:t xml:space="preserve"> год. на Народно читалище ,,Христо Ботев – 1942,, с. Рогозина.</w:t>
      </w:r>
    </w:p>
    <w:p w:rsidR="000759FC" w:rsidRDefault="000759FC" w:rsidP="000B3237">
      <w:pPr>
        <w:rPr>
          <w:sz w:val="28"/>
          <w:szCs w:val="28"/>
        </w:rPr>
      </w:pPr>
      <w:r>
        <w:rPr>
          <w:sz w:val="28"/>
          <w:szCs w:val="28"/>
        </w:rPr>
        <w:t>Нашата отговорност се свежда до изразяване на проверително мнение основаващо се на проверката на предоставените документи. Проверката бе извършена в съответствие с действащите нормативни документи</w:t>
      </w:r>
      <w:r w:rsidR="000519F6">
        <w:rPr>
          <w:sz w:val="28"/>
          <w:szCs w:val="28"/>
        </w:rPr>
        <w:t>, стандарти и Устава на читалището. Считаме, че извършената от нас проверка дава достатъчно пояснение и основание за изразяване на проверително мнение.</w:t>
      </w:r>
    </w:p>
    <w:p w:rsidR="000519F6" w:rsidRDefault="000519F6" w:rsidP="000B3237">
      <w:pPr>
        <w:rPr>
          <w:sz w:val="28"/>
          <w:szCs w:val="28"/>
        </w:rPr>
      </w:pPr>
    </w:p>
    <w:p w:rsidR="000519F6" w:rsidRDefault="007443B4" w:rsidP="000B3237">
      <w:pPr>
        <w:rPr>
          <w:sz w:val="28"/>
          <w:szCs w:val="28"/>
        </w:rPr>
      </w:pPr>
      <w:r>
        <w:rPr>
          <w:sz w:val="28"/>
          <w:szCs w:val="28"/>
        </w:rPr>
        <w:t>01.02.2022</w:t>
      </w:r>
      <w:r w:rsidR="000519F6">
        <w:rPr>
          <w:sz w:val="28"/>
          <w:szCs w:val="28"/>
        </w:rPr>
        <w:t xml:space="preserve"> год.                                                    Комисия;</w:t>
      </w:r>
    </w:p>
    <w:p w:rsidR="000519F6" w:rsidRDefault="000519F6" w:rsidP="000B3237">
      <w:pPr>
        <w:rPr>
          <w:sz w:val="28"/>
          <w:szCs w:val="28"/>
        </w:rPr>
      </w:pPr>
      <w:r>
        <w:rPr>
          <w:sz w:val="28"/>
          <w:szCs w:val="28"/>
        </w:rPr>
        <w:t>с. Рогозина                                                         Председател ПК;.................</w:t>
      </w:r>
    </w:p>
    <w:p w:rsidR="000519F6" w:rsidRDefault="000519F6" w:rsidP="000B3237">
      <w:pPr>
        <w:rPr>
          <w:sz w:val="28"/>
          <w:szCs w:val="28"/>
        </w:rPr>
      </w:pPr>
      <w:r>
        <w:rPr>
          <w:sz w:val="28"/>
          <w:szCs w:val="28"/>
        </w:rPr>
        <w:t xml:space="preserve">                                                                              / Юлия Александрова /</w:t>
      </w:r>
    </w:p>
    <w:p w:rsidR="000519F6" w:rsidRDefault="000519F6" w:rsidP="000B3237">
      <w:pPr>
        <w:rPr>
          <w:sz w:val="28"/>
          <w:szCs w:val="28"/>
        </w:rPr>
      </w:pPr>
      <w:r>
        <w:rPr>
          <w:sz w:val="28"/>
          <w:szCs w:val="28"/>
        </w:rPr>
        <w:t xml:space="preserve">                                                                               Членове;...................</w:t>
      </w:r>
    </w:p>
    <w:p w:rsidR="000519F6" w:rsidRDefault="000519F6" w:rsidP="000B3237">
      <w:pPr>
        <w:rPr>
          <w:sz w:val="28"/>
          <w:szCs w:val="28"/>
        </w:rPr>
      </w:pPr>
      <w:r>
        <w:rPr>
          <w:sz w:val="28"/>
          <w:szCs w:val="28"/>
        </w:rPr>
        <w:t xml:space="preserve">                                                                             / Али Исмаилов /</w:t>
      </w:r>
    </w:p>
    <w:p w:rsidR="000519F6" w:rsidRDefault="000519F6" w:rsidP="000B3237">
      <w:pPr>
        <w:rPr>
          <w:sz w:val="28"/>
          <w:szCs w:val="28"/>
        </w:rPr>
      </w:pPr>
      <w:r>
        <w:rPr>
          <w:sz w:val="28"/>
          <w:szCs w:val="28"/>
        </w:rPr>
        <w:t xml:space="preserve">                                                                                                  ...................</w:t>
      </w:r>
    </w:p>
    <w:p w:rsidR="000519F6" w:rsidRDefault="000519F6" w:rsidP="000B3237">
      <w:pPr>
        <w:rPr>
          <w:sz w:val="28"/>
          <w:szCs w:val="28"/>
        </w:rPr>
      </w:pPr>
      <w:r>
        <w:rPr>
          <w:sz w:val="28"/>
          <w:szCs w:val="28"/>
        </w:rPr>
        <w:t xml:space="preserve">                                                                             / Орхан Али /</w:t>
      </w:r>
    </w:p>
    <w:p w:rsidR="001F6491" w:rsidRDefault="001F6491" w:rsidP="000B3237">
      <w:pPr>
        <w:rPr>
          <w:sz w:val="28"/>
          <w:szCs w:val="28"/>
        </w:rPr>
      </w:pPr>
    </w:p>
    <w:p w:rsidR="001F6491" w:rsidRDefault="001F6491" w:rsidP="000B3237">
      <w:pPr>
        <w:rPr>
          <w:sz w:val="28"/>
          <w:szCs w:val="28"/>
        </w:rPr>
      </w:pPr>
    </w:p>
    <w:p w:rsidR="001F6491" w:rsidRDefault="001F6491" w:rsidP="000B3237">
      <w:pPr>
        <w:rPr>
          <w:sz w:val="28"/>
          <w:szCs w:val="28"/>
        </w:rPr>
      </w:pPr>
    </w:p>
    <w:p w:rsidR="001F6491" w:rsidRDefault="001F6491" w:rsidP="000B3237">
      <w:pPr>
        <w:pBdr>
          <w:bottom w:val="single" w:sz="12" w:space="1" w:color="auto"/>
        </w:pBdr>
        <w:rPr>
          <w:b/>
          <w:sz w:val="28"/>
          <w:szCs w:val="28"/>
        </w:rPr>
      </w:pPr>
      <w:r>
        <w:rPr>
          <w:b/>
          <w:sz w:val="28"/>
          <w:szCs w:val="28"/>
        </w:rPr>
        <w:lastRenderedPageBreak/>
        <w:t>ГОДИШЕН ДОКЛАД НА ЧИТАЛИЩНОТО НАСТОЯТЕЛСТВО ПРИ НАРОДНО ЧИТАЛИЩЕ ,,ХРИСТО БОТЕВ – 1942,, С.</w:t>
      </w:r>
      <w:r w:rsidR="006022FF">
        <w:rPr>
          <w:b/>
          <w:sz w:val="28"/>
          <w:szCs w:val="28"/>
        </w:rPr>
        <w:t xml:space="preserve"> РОГОЗИНА ЗА ДЕЙНОСТТА ПРЕЗ 202</w:t>
      </w:r>
      <w:r w:rsidR="006022FF">
        <w:rPr>
          <w:b/>
          <w:sz w:val="28"/>
          <w:szCs w:val="28"/>
          <w:lang w:val="en-US"/>
        </w:rPr>
        <w:t>1</w:t>
      </w:r>
      <w:r>
        <w:rPr>
          <w:b/>
          <w:sz w:val="28"/>
          <w:szCs w:val="28"/>
        </w:rPr>
        <w:t xml:space="preserve"> ГОДИНА</w:t>
      </w:r>
    </w:p>
    <w:p w:rsidR="001F6491" w:rsidRDefault="001F6491" w:rsidP="000B3237">
      <w:pPr>
        <w:rPr>
          <w:b/>
          <w:i/>
          <w:sz w:val="24"/>
          <w:szCs w:val="24"/>
        </w:rPr>
      </w:pPr>
      <w:r>
        <w:rPr>
          <w:b/>
          <w:sz w:val="28"/>
          <w:szCs w:val="28"/>
        </w:rPr>
        <w:t xml:space="preserve">                                                                                                            </w:t>
      </w:r>
      <w:r>
        <w:rPr>
          <w:b/>
          <w:i/>
          <w:sz w:val="24"/>
          <w:szCs w:val="24"/>
        </w:rPr>
        <w:t>Приложение 2</w:t>
      </w:r>
    </w:p>
    <w:p w:rsidR="001F6491" w:rsidRDefault="00B93D9A" w:rsidP="000B3237">
      <w:pPr>
        <w:rPr>
          <w:sz w:val="28"/>
          <w:szCs w:val="28"/>
        </w:rPr>
      </w:pPr>
      <w:r>
        <w:rPr>
          <w:sz w:val="28"/>
          <w:szCs w:val="28"/>
        </w:rPr>
        <w:t xml:space="preserve">Българското читалище се възприема от обществото като културна институция, завоювала своите позиции през годините на своето съществуване и доказала, че е необходима. Заедно с това се откроява и специфичната мисия на читалището за съхранение и развитие на традиционните ценности на нацията. В своето вече 80-годишно съществуване Народно читалище ,,Христо Ботев – 1942,, с. Рогозина се е </w:t>
      </w:r>
      <w:r w:rsidR="00B4080B">
        <w:rPr>
          <w:sz w:val="28"/>
          <w:szCs w:val="28"/>
        </w:rPr>
        <w:t xml:space="preserve">превърнало в основна клетка на културата със свое място и роля в живота на местната общост. През последните години-години на бързо развитие на обществото, най-вече в технологично отношение, читалището в с. Рогозина вече е не само традиционната културно-просветна организация за най-широк кръг от населението, но и институция, която отговаря на съвременните изисквания за бърз достъп до информация, за предоставяне по иновативен начин възможности за развитие творческия потенциал на населението. </w:t>
      </w:r>
      <w:r w:rsidR="00EA226D">
        <w:rPr>
          <w:sz w:val="28"/>
          <w:szCs w:val="28"/>
        </w:rPr>
        <w:t xml:space="preserve">Особено внимание се обръща на взаимовръзката между поколенията, най-вече с оглед задоволяване потребностите на младите хора. Дейността на рогозинското читалище е винаги свързана с променящите се социално-икономически условия в обността, изменящите се ценности и потребности на хората.Управляващ орган на читалището е Читалищното настоятелство, което се състои от три члена, с Председател Юзджан Ибрямов Ахмедов. В читалището през изминалата 2021 год. работи </w:t>
      </w:r>
      <w:r w:rsidR="00234DF1">
        <w:rPr>
          <w:sz w:val="28"/>
          <w:szCs w:val="28"/>
        </w:rPr>
        <w:t>един брой щатен персонал, който обслужва и библиотеката.</w:t>
      </w:r>
    </w:p>
    <w:p w:rsidR="00234DF1" w:rsidRDefault="00234DF1" w:rsidP="000B3237">
      <w:pPr>
        <w:rPr>
          <w:b/>
          <w:sz w:val="28"/>
          <w:szCs w:val="28"/>
        </w:rPr>
      </w:pPr>
      <w:r>
        <w:rPr>
          <w:b/>
          <w:sz w:val="28"/>
          <w:szCs w:val="28"/>
        </w:rPr>
        <w:t xml:space="preserve">Епидемията от </w:t>
      </w:r>
      <w:r>
        <w:rPr>
          <w:b/>
          <w:sz w:val="28"/>
          <w:szCs w:val="28"/>
          <w:lang w:val="en-US"/>
        </w:rPr>
        <w:t>COVID-19</w:t>
      </w:r>
      <w:r>
        <w:rPr>
          <w:b/>
          <w:sz w:val="28"/>
          <w:szCs w:val="28"/>
        </w:rPr>
        <w:t xml:space="preserve"> ограничи цялостната работа на читалището и по тези причини във всеки елемент от дейността се забелязва намаляване; организиране и участие в инициативи, библиотечна дейност, посещения на мероприятия. Основните функции и задачи които стояха пред институцията бяха;</w:t>
      </w:r>
      <w:r>
        <w:rPr>
          <w:sz w:val="28"/>
          <w:szCs w:val="28"/>
        </w:rPr>
        <w:t xml:space="preserve"> затвърждаване позицията на читалището като водещо културно средище; обогатяване на културния живот с традиционни и нови форми;</w:t>
      </w:r>
      <w:r w:rsidR="008A7199">
        <w:rPr>
          <w:sz w:val="28"/>
          <w:szCs w:val="28"/>
        </w:rPr>
        <w:t xml:space="preserve"> развитие на библиотечната дейност; превръщане на читалището в информационен център; съхраняване на народните обичаи и традиции; развитие и подпомагане на любителското художествено творчество; </w:t>
      </w:r>
      <w:r w:rsidR="008A7199">
        <w:rPr>
          <w:sz w:val="28"/>
          <w:szCs w:val="28"/>
        </w:rPr>
        <w:lastRenderedPageBreak/>
        <w:t>партниране с местното самоуправление за развитието на културните процеси. Въпреки ограниченията тези функции бя</w:t>
      </w:r>
      <w:r w:rsidR="008D08E0">
        <w:rPr>
          <w:sz w:val="28"/>
          <w:szCs w:val="28"/>
        </w:rPr>
        <w:t xml:space="preserve">ха изпълнение в по-голяма степен. </w:t>
      </w:r>
      <w:r w:rsidR="008D08E0">
        <w:rPr>
          <w:b/>
          <w:sz w:val="28"/>
          <w:szCs w:val="28"/>
        </w:rPr>
        <w:t>По отношение на заложените приоритетни задачи за изминалия отчетен период, които бяха;</w:t>
      </w:r>
    </w:p>
    <w:p w:rsidR="008D08E0" w:rsidRDefault="008D08E0" w:rsidP="008D08E0">
      <w:pPr>
        <w:pStyle w:val="ListParagraph"/>
        <w:numPr>
          <w:ilvl w:val="0"/>
          <w:numId w:val="11"/>
        </w:numPr>
        <w:rPr>
          <w:sz w:val="28"/>
          <w:szCs w:val="28"/>
        </w:rPr>
      </w:pPr>
      <w:r>
        <w:rPr>
          <w:sz w:val="28"/>
          <w:szCs w:val="28"/>
        </w:rPr>
        <w:t>Поддържане на читалищната библиотека</w:t>
      </w:r>
    </w:p>
    <w:p w:rsidR="001F0FC8" w:rsidRDefault="001F0FC8" w:rsidP="008D08E0">
      <w:pPr>
        <w:pStyle w:val="ListParagraph"/>
        <w:numPr>
          <w:ilvl w:val="0"/>
          <w:numId w:val="11"/>
        </w:numPr>
        <w:rPr>
          <w:sz w:val="28"/>
          <w:szCs w:val="28"/>
        </w:rPr>
      </w:pPr>
      <w:r>
        <w:rPr>
          <w:sz w:val="28"/>
          <w:szCs w:val="28"/>
        </w:rPr>
        <w:t xml:space="preserve">Обогатяване и развитие на любителското художествено творчество, участия в концерти, фестивали и </w:t>
      </w:r>
      <w:r w:rsidR="00AD3997">
        <w:rPr>
          <w:sz w:val="28"/>
          <w:szCs w:val="28"/>
        </w:rPr>
        <w:t>други културни мероприятия на общината и страната;</w:t>
      </w:r>
    </w:p>
    <w:p w:rsidR="00AD3997" w:rsidRDefault="00AD3997" w:rsidP="008D08E0">
      <w:pPr>
        <w:pStyle w:val="ListParagraph"/>
        <w:numPr>
          <w:ilvl w:val="0"/>
          <w:numId w:val="11"/>
        </w:numPr>
        <w:rPr>
          <w:sz w:val="28"/>
          <w:szCs w:val="28"/>
        </w:rPr>
      </w:pPr>
      <w:r>
        <w:rPr>
          <w:sz w:val="28"/>
          <w:szCs w:val="28"/>
        </w:rPr>
        <w:t>Предоставяне на интернет услуги;</w:t>
      </w:r>
    </w:p>
    <w:p w:rsidR="00AD3997" w:rsidRDefault="00AD3997" w:rsidP="008D08E0">
      <w:pPr>
        <w:pStyle w:val="ListParagraph"/>
        <w:numPr>
          <w:ilvl w:val="0"/>
          <w:numId w:val="11"/>
        </w:numPr>
        <w:rPr>
          <w:sz w:val="28"/>
          <w:szCs w:val="28"/>
        </w:rPr>
      </w:pPr>
      <w:r>
        <w:rPr>
          <w:sz w:val="28"/>
          <w:szCs w:val="28"/>
        </w:rPr>
        <w:t>Обогатяване на формите и дейностите за съхраняване и популяризиране на културно историческото наследство;</w:t>
      </w:r>
    </w:p>
    <w:p w:rsidR="00AD3997" w:rsidRDefault="00AD3997" w:rsidP="008D08E0">
      <w:pPr>
        <w:pStyle w:val="ListParagraph"/>
        <w:numPr>
          <w:ilvl w:val="0"/>
          <w:numId w:val="11"/>
        </w:numPr>
        <w:rPr>
          <w:sz w:val="28"/>
          <w:szCs w:val="28"/>
        </w:rPr>
      </w:pPr>
      <w:r>
        <w:rPr>
          <w:sz w:val="28"/>
          <w:szCs w:val="28"/>
        </w:rPr>
        <w:t>Развитие на краезнанието като един от важните моменти от читалищната дейност за съхраняване историята на родния край;</w:t>
      </w:r>
    </w:p>
    <w:p w:rsidR="00AD3997" w:rsidRDefault="00AD3997" w:rsidP="00AD3997">
      <w:pPr>
        <w:ind w:left="360"/>
        <w:rPr>
          <w:sz w:val="28"/>
          <w:szCs w:val="28"/>
        </w:rPr>
      </w:pPr>
      <w:r>
        <w:rPr>
          <w:sz w:val="28"/>
          <w:szCs w:val="28"/>
        </w:rPr>
        <w:t>Някои от тях не беше възможно да се изпълнят или обогатят, но други бяха.</w:t>
      </w:r>
    </w:p>
    <w:p w:rsidR="00AD3997" w:rsidRDefault="00AD3997" w:rsidP="00AD3997">
      <w:pPr>
        <w:ind w:left="360"/>
        <w:rPr>
          <w:b/>
          <w:sz w:val="28"/>
          <w:szCs w:val="28"/>
        </w:rPr>
      </w:pPr>
      <w:r>
        <w:rPr>
          <w:b/>
          <w:sz w:val="28"/>
          <w:szCs w:val="28"/>
        </w:rPr>
        <w:t>Дейности;</w:t>
      </w:r>
    </w:p>
    <w:p w:rsidR="00AD3997" w:rsidRDefault="00AD3997" w:rsidP="00AD3997">
      <w:pPr>
        <w:ind w:left="360"/>
        <w:rPr>
          <w:b/>
          <w:sz w:val="28"/>
          <w:szCs w:val="28"/>
        </w:rPr>
      </w:pPr>
      <w:r>
        <w:rPr>
          <w:b/>
          <w:sz w:val="28"/>
          <w:szCs w:val="28"/>
        </w:rPr>
        <w:t>Библиотечна и информационна дейност</w:t>
      </w:r>
    </w:p>
    <w:p w:rsidR="00AD3997" w:rsidRDefault="00AD3997" w:rsidP="00AD3997">
      <w:pPr>
        <w:ind w:left="360"/>
        <w:rPr>
          <w:sz w:val="28"/>
          <w:szCs w:val="28"/>
        </w:rPr>
      </w:pPr>
      <w:r>
        <w:rPr>
          <w:sz w:val="28"/>
          <w:szCs w:val="28"/>
        </w:rPr>
        <w:t>Една от основните дейности на читалището е библиотечната дейност.</w:t>
      </w:r>
      <w:r w:rsidR="00FF2915">
        <w:rPr>
          <w:sz w:val="28"/>
          <w:szCs w:val="28"/>
        </w:rPr>
        <w:t xml:space="preserve"> В читалището регистрирана библиотека няма, само библиотечна сбирка със собствен кът за четене. Основната и цел е привличане на читатели от най-ранна децка възраст. Към сбирката функционират два отдела на библиотеката; за деца и за възрастни. За съжаление през последните години броят на читателите намалява и причините за това са различни; при пхо-младото поколение причините варират от нежелание за четене до четене онлайн. При по-възрастните от липса на време за някои до невъзможност да посещават библиотеката поради факта, че е на втория етаж и за най-възрастните читатели е трудно достъпна. Но всъщност основната причина за намаляване броя на читателите е липса на навици за четене. Именно за това, библиотеката реализира различни инициативи с цел възпитаване на </w:t>
      </w:r>
      <w:r w:rsidR="0096177F">
        <w:rPr>
          <w:sz w:val="28"/>
          <w:szCs w:val="28"/>
        </w:rPr>
        <w:t xml:space="preserve">любов към книгата и четенето. През годината се провеждаха чествания на дати от местния и националния календар, и разбира се – подреждане на кътове и витрини като утвърден начин за популяризиране на творчеството на авторите или </w:t>
      </w:r>
      <w:r w:rsidR="0096177F">
        <w:rPr>
          <w:sz w:val="28"/>
          <w:szCs w:val="28"/>
        </w:rPr>
        <w:lastRenderedPageBreak/>
        <w:t>събитията. През 2020/2021 год. поради ограничителните мерки, доведе до намаляване на цялостната библиотечна дейност. През 2021 год. секретаря на читалището, който обслужва библиотеката за по-добри умения участва на обучителен семинар при Регионална библиотека ,,Дора Габе,, гр. Добрич.</w:t>
      </w:r>
    </w:p>
    <w:p w:rsidR="0096177F" w:rsidRDefault="0096177F" w:rsidP="00AD3997">
      <w:pPr>
        <w:ind w:left="360"/>
        <w:rPr>
          <w:sz w:val="28"/>
          <w:szCs w:val="28"/>
        </w:rPr>
      </w:pPr>
      <w:r>
        <w:rPr>
          <w:sz w:val="28"/>
          <w:szCs w:val="28"/>
        </w:rPr>
        <w:t>Библиотечния фонд наброява 2 200 библиотечни материали към 31.12.2021 год.</w:t>
      </w:r>
      <w:r w:rsidR="009B5A35">
        <w:rPr>
          <w:sz w:val="28"/>
          <w:szCs w:val="28"/>
        </w:rPr>
        <w:t xml:space="preserve"> Всички тези са предоставени на свободен достъп на читателите.</w:t>
      </w:r>
    </w:p>
    <w:p w:rsidR="009B5A35" w:rsidRDefault="009B5A35" w:rsidP="00AD3997">
      <w:pPr>
        <w:ind w:left="360"/>
        <w:rPr>
          <w:sz w:val="28"/>
          <w:szCs w:val="28"/>
        </w:rPr>
      </w:pPr>
      <w:r>
        <w:rPr>
          <w:sz w:val="28"/>
          <w:szCs w:val="28"/>
        </w:rPr>
        <w:t>Новорегистрирани читатели – 4</w:t>
      </w:r>
    </w:p>
    <w:p w:rsidR="009B5A35" w:rsidRDefault="009B5A35" w:rsidP="00AD3997">
      <w:pPr>
        <w:ind w:left="360"/>
        <w:rPr>
          <w:sz w:val="28"/>
          <w:szCs w:val="28"/>
        </w:rPr>
      </w:pPr>
      <w:r>
        <w:rPr>
          <w:sz w:val="28"/>
          <w:szCs w:val="28"/>
        </w:rPr>
        <w:t>Посещения – 76</w:t>
      </w:r>
    </w:p>
    <w:p w:rsidR="009B5A35" w:rsidRDefault="009B5A35" w:rsidP="00AD3997">
      <w:pPr>
        <w:ind w:left="360"/>
        <w:rPr>
          <w:sz w:val="28"/>
          <w:szCs w:val="28"/>
        </w:rPr>
      </w:pPr>
      <w:r>
        <w:rPr>
          <w:sz w:val="28"/>
          <w:szCs w:val="28"/>
        </w:rPr>
        <w:t>Раздадени книги – 103</w:t>
      </w:r>
    </w:p>
    <w:p w:rsidR="009B5A35" w:rsidRDefault="009B5A35" w:rsidP="00AD3997">
      <w:pPr>
        <w:ind w:left="360"/>
        <w:rPr>
          <w:sz w:val="28"/>
          <w:szCs w:val="28"/>
        </w:rPr>
      </w:pPr>
      <w:r>
        <w:rPr>
          <w:sz w:val="28"/>
          <w:szCs w:val="28"/>
        </w:rPr>
        <w:t>Набавени – 53</w:t>
      </w:r>
    </w:p>
    <w:p w:rsidR="009B5A35" w:rsidRDefault="009B5A35" w:rsidP="00AD3997">
      <w:pPr>
        <w:ind w:left="360"/>
        <w:rPr>
          <w:b/>
          <w:sz w:val="28"/>
          <w:szCs w:val="28"/>
        </w:rPr>
      </w:pPr>
      <w:r>
        <w:rPr>
          <w:b/>
          <w:sz w:val="28"/>
          <w:szCs w:val="28"/>
        </w:rPr>
        <w:t>Художествена – творческа дейност</w:t>
      </w:r>
    </w:p>
    <w:p w:rsidR="009B5A35" w:rsidRDefault="009B5A35" w:rsidP="00AD3997">
      <w:pPr>
        <w:ind w:left="360"/>
        <w:rPr>
          <w:sz w:val="28"/>
          <w:szCs w:val="28"/>
        </w:rPr>
      </w:pPr>
      <w:r>
        <w:rPr>
          <w:sz w:val="28"/>
          <w:szCs w:val="28"/>
        </w:rPr>
        <w:t>В НЧ,,Христо Ботев – 1942,, с. Рогозина функционират следните самодейни колективи и групи за любителско художествено творчество;</w:t>
      </w:r>
    </w:p>
    <w:p w:rsidR="009B5A35" w:rsidRDefault="009B5A35" w:rsidP="009B5A35">
      <w:pPr>
        <w:pStyle w:val="ListParagraph"/>
        <w:numPr>
          <w:ilvl w:val="0"/>
          <w:numId w:val="11"/>
        </w:numPr>
        <w:rPr>
          <w:sz w:val="28"/>
          <w:szCs w:val="28"/>
        </w:rPr>
      </w:pPr>
      <w:r>
        <w:rPr>
          <w:sz w:val="28"/>
          <w:szCs w:val="28"/>
        </w:rPr>
        <w:t>Певческа група</w:t>
      </w:r>
    </w:p>
    <w:p w:rsidR="009B5A35" w:rsidRDefault="009B5A35" w:rsidP="009B5A35">
      <w:pPr>
        <w:pStyle w:val="ListParagraph"/>
        <w:numPr>
          <w:ilvl w:val="0"/>
          <w:numId w:val="11"/>
        </w:numPr>
        <w:rPr>
          <w:sz w:val="28"/>
          <w:szCs w:val="28"/>
        </w:rPr>
      </w:pPr>
      <w:r>
        <w:rPr>
          <w:sz w:val="28"/>
          <w:szCs w:val="28"/>
        </w:rPr>
        <w:t>ДФГ ,,Китка,,</w:t>
      </w:r>
    </w:p>
    <w:p w:rsidR="009B5A35" w:rsidRDefault="009B5A35" w:rsidP="009B5A35">
      <w:pPr>
        <w:pStyle w:val="ListParagraph"/>
        <w:numPr>
          <w:ilvl w:val="0"/>
          <w:numId w:val="11"/>
        </w:numPr>
        <w:rPr>
          <w:sz w:val="28"/>
          <w:szCs w:val="28"/>
        </w:rPr>
      </w:pPr>
      <w:r>
        <w:rPr>
          <w:sz w:val="28"/>
          <w:szCs w:val="28"/>
        </w:rPr>
        <w:t>Коледарска група</w:t>
      </w:r>
    </w:p>
    <w:p w:rsidR="009B5A35" w:rsidRDefault="009B5A35" w:rsidP="009B5A35">
      <w:pPr>
        <w:pStyle w:val="ListParagraph"/>
        <w:numPr>
          <w:ilvl w:val="0"/>
          <w:numId w:val="11"/>
        </w:numPr>
        <w:rPr>
          <w:sz w:val="28"/>
          <w:szCs w:val="28"/>
        </w:rPr>
      </w:pPr>
      <w:r>
        <w:rPr>
          <w:sz w:val="28"/>
          <w:szCs w:val="28"/>
        </w:rPr>
        <w:t>Индивидуални изпълнители</w:t>
      </w:r>
    </w:p>
    <w:p w:rsidR="009B5A35" w:rsidRDefault="00DD2606" w:rsidP="009B5A35">
      <w:pPr>
        <w:ind w:left="360"/>
        <w:rPr>
          <w:sz w:val="28"/>
          <w:szCs w:val="28"/>
        </w:rPr>
      </w:pPr>
      <w:r>
        <w:rPr>
          <w:sz w:val="28"/>
          <w:szCs w:val="28"/>
        </w:rPr>
        <w:t>Така посочените състави са от началото на 2016 год., но техните участия бяха много ограничени поради наложените мерки. Всички те налагат своето активно присъствие и дават приноса си за разгръщане на широк спектър от разнообразни културни инициативи в селото и извън него.</w:t>
      </w:r>
    </w:p>
    <w:p w:rsidR="00DD2606" w:rsidRDefault="00DD2606" w:rsidP="009B5A35">
      <w:pPr>
        <w:ind w:left="360"/>
        <w:rPr>
          <w:b/>
          <w:sz w:val="28"/>
          <w:szCs w:val="28"/>
        </w:rPr>
      </w:pPr>
      <w:r>
        <w:rPr>
          <w:b/>
          <w:sz w:val="28"/>
          <w:szCs w:val="28"/>
        </w:rPr>
        <w:t>Културно-масови мероприятия;</w:t>
      </w:r>
    </w:p>
    <w:p w:rsidR="00DD2606" w:rsidRDefault="001E158E" w:rsidP="009B5A35">
      <w:pPr>
        <w:ind w:left="360"/>
        <w:rPr>
          <w:sz w:val="28"/>
          <w:szCs w:val="28"/>
        </w:rPr>
      </w:pPr>
      <w:r>
        <w:rPr>
          <w:sz w:val="28"/>
          <w:szCs w:val="28"/>
        </w:rPr>
        <w:t xml:space="preserve">Читалището организира традиционни празници и чествания, свързани с местния и националния календар. Самодейците на читалището са основни участници в провеждането на културните изяви и събития. Не бяха осъществени пътувания през изминалата година. Подреждаха кътове и витрини по различни поводи, чествания и юбилейни годишнини. Проведени са 6 културно масови мероприятия, </w:t>
      </w:r>
      <w:r>
        <w:rPr>
          <w:sz w:val="28"/>
          <w:szCs w:val="28"/>
        </w:rPr>
        <w:lastRenderedPageBreak/>
        <w:t>традиционни празници и обичаи. В читалището се предоставят редица услуги на населението; копиране, попълване на документи, сканиране, принтиране, изпращани на е-маил, изработка на различни видове печатни материали и др.</w:t>
      </w:r>
    </w:p>
    <w:p w:rsidR="001E158E" w:rsidRDefault="001E158E" w:rsidP="009B5A35">
      <w:pPr>
        <w:ind w:left="360"/>
        <w:rPr>
          <w:b/>
          <w:sz w:val="28"/>
          <w:szCs w:val="28"/>
        </w:rPr>
      </w:pPr>
      <w:r>
        <w:rPr>
          <w:b/>
          <w:sz w:val="28"/>
          <w:szCs w:val="28"/>
        </w:rPr>
        <w:t>Материално техническа база;</w:t>
      </w:r>
    </w:p>
    <w:p w:rsidR="001E158E" w:rsidRDefault="001E158E" w:rsidP="009B5A35">
      <w:pPr>
        <w:ind w:left="360"/>
        <w:rPr>
          <w:sz w:val="28"/>
          <w:szCs w:val="28"/>
        </w:rPr>
      </w:pPr>
      <w:r>
        <w:rPr>
          <w:sz w:val="28"/>
          <w:szCs w:val="28"/>
        </w:rPr>
        <w:t>Сградата на читалището е с площ 275 кв.м., общинка дадена за безвъзмездно ползване. Двуетажна в общо добро състояние. През последните години Община Генерал Тошево реализира значителни ремонтни дейности по сградата, като продължиха и през 2021 год. Извършения ремонт на стълбището беше наложителен и извършен през юни 2020 год. Има и други части от сградата , които се нуждаят от ремонт. Въпреки намалената дейност на читалището през изминалата 2021 год. заради ограниченията, дейността беше разнообразна. Надяваме се през 2022 год., при отпадане на мерките, да се активира читалищната дейност. Всъщност за постигане на резултати  можем да говорим при овеличаване броя на самодейците. Нашите самодейци са малко на брой, които изнасят цялата тежест като участници и в други читалищни инициативи. На всички, които участват с ентусиазъм в читалищната дейност, изказваме своето уважение и благодарност. И нека със своя пример да заразят и нови участници в читалищните дела.</w:t>
      </w:r>
    </w:p>
    <w:p w:rsidR="001E158E" w:rsidRDefault="001E158E" w:rsidP="009B5A35">
      <w:pPr>
        <w:ind w:left="360"/>
        <w:rPr>
          <w:sz w:val="28"/>
          <w:szCs w:val="28"/>
        </w:rPr>
      </w:pPr>
    </w:p>
    <w:p w:rsidR="001E158E" w:rsidRDefault="001E158E" w:rsidP="009B5A35">
      <w:pPr>
        <w:ind w:left="360"/>
        <w:rPr>
          <w:sz w:val="28"/>
          <w:szCs w:val="28"/>
        </w:rPr>
      </w:pPr>
      <w:r>
        <w:rPr>
          <w:sz w:val="28"/>
          <w:szCs w:val="28"/>
        </w:rPr>
        <w:t>03.02.2022 год.                               Читалищно настоятелство;</w:t>
      </w:r>
    </w:p>
    <w:p w:rsidR="001E158E" w:rsidRDefault="001E158E" w:rsidP="001E158E">
      <w:pPr>
        <w:ind w:left="360"/>
        <w:rPr>
          <w:sz w:val="28"/>
          <w:szCs w:val="28"/>
        </w:rPr>
      </w:pPr>
      <w:r>
        <w:rPr>
          <w:sz w:val="28"/>
          <w:szCs w:val="28"/>
        </w:rPr>
        <w:t>с. Рогозина                                      Председател ЧН;.....................</w:t>
      </w:r>
    </w:p>
    <w:p w:rsidR="001E158E" w:rsidRDefault="001E158E" w:rsidP="001E158E">
      <w:pPr>
        <w:ind w:left="360"/>
        <w:rPr>
          <w:sz w:val="28"/>
          <w:szCs w:val="28"/>
        </w:rPr>
      </w:pPr>
      <w:r>
        <w:rPr>
          <w:sz w:val="28"/>
          <w:szCs w:val="28"/>
        </w:rPr>
        <w:t xml:space="preserve">                                                            / Юзджан Ахмедов /</w:t>
      </w:r>
    </w:p>
    <w:p w:rsidR="001E158E" w:rsidRDefault="001E158E" w:rsidP="001E158E">
      <w:pPr>
        <w:ind w:left="360"/>
        <w:rPr>
          <w:sz w:val="28"/>
          <w:szCs w:val="28"/>
        </w:rPr>
      </w:pPr>
      <w:r>
        <w:rPr>
          <w:sz w:val="28"/>
          <w:szCs w:val="28"/>
        </w:rPr>
        <w:t xml:space="preserve">                                                            Член ЧН ; .........................</w:t>
      </w:r>
    </w:p>
    <w:p w:rsidR="001E158E" w:rsidRDefault="001E158E" w:rsidP="001E158E">
      <w:pPr>
        <w:ind w:left="360"/>
        <w:rPr>
          <w:sz w:val="28"/>
          <w:szCs w:val="28"/>
        </w:rPr>
      </w:pPr>
      <w:r>
        <w:rPr>
          <w:sz w:val="28"/>
          <w:szCs w:val="28"/>
        </w:rPr>
        <w:t xml:space="preserve">                                                           / Денис Ремзи /</w:t>
      </w:r>
    </w:p>
    <w:p w:rsidR="001E158E" w:rsidRDefault="001E158E" w:rsidP="001E158E">
      <w:pPr>
        <w:ind w:left="360"/>
        <w:rPr>
          <w:sz w:val="28"/>
          <w:szCs w:val="28"/>
        </w:rPr>
      </w:pPr>
      <w:r>
        <w:rPr>
          <w:sz w:val="28"/>
          <w:szCs w:val="28"/>
        </w:rPr>
        <w:t xml:space="preserve">                                                            Член ЧН ; .......................</w:t>
      </w:r>
    </w:p>
    <w:p w:rsidR="001E158E" w:rsidRPr="001E158E" w:rsidRDefault="001E158E" w:rsidP="001E158E">
      <w:pPr>
        <w:ind w:left="360"/>
        <w:rPr>
          <w:sz w:val="28"/>
          <w:szCs w:val="28"/>
        </w:rPr>
      </w:pPr>
      <w:r>
        <w:rPr>
          <w:sz w:val="28"/>
          <w:szCs w:val="28"/>
        </w:rPr>
        <w:t xml:space="preserve">                                                          / Юлиян Демирев /</w:t>
      </w:r>
    </w:p>
    <w:p w:rsidR="00444FA1" w:rsidRPr="00780328" w:rsidRDefault="00444FA1" w:rsidP="00780328">
      <w:pPr>
        <w:rPr>
          <w:sz w:val="28"/>
          <w:szCs w:val="28"/>
        </w:rPr>
      </w:pPr>
    </w:p>
    <w:p w:rsidR="00615C6C" w:rsidRDefault="00AC319B" w:rsidP="004801E3">
      <w:pPr>
        <w:rPr>
          <w:i/>
          <w:sz w:val="28"/>
          <w:szCs w:val="28"/>
        </w:rPr>
      </w:pPr>
      <w:r w:rsidRPr="004801E3">
        <w:rPr>
          <w:i/>
          <w:sz w:val="28"/>
          <w:szCs w:val="28"/>
        </w:rPr>
        <w:lastRenderedPageBreak/>
        <w:t xml:space="preserve">                        </w:t>
      </w:r>
      <w:r w:rsidR="00615C6C">
        <w:rPr>
          <w:i/>
          <w:sz w:val="28"/>
          <w:szCs w:val="28"/>
        </w:rPr>
        <w:t>РЪКОВОДНИ ОРГАНИ:</w:t>
      </w:r>
    </w:p>
    <w:p w:rsidR="00615C6C" w:rsidRPr="00615C6C" w:rsidRDefault="00615C6C" w:rsidP="004801E3">
      <w:pPr>
        <w:rPr>
          <w:b/>
          <w:i/>
          <w:sz w:val="28"/>
          <w:szCs w:val="28"/>
        </w:rPr>
      </w:pPr>
      <w:r>
        <w:rPr>
          <w:b/>
          <w:i/>
          <w:sz w:val="28"/>
          <w:szCs w:val="28"/>
        </w:rPr>
        <w:t>ЧИТАЛИЩНО НАСТОЯТЕЛСТВО:</w:t>
      </w:r>
    </w:p>
    <w:p w:rsidR="00615C6C" w:rsidRDefault="00615C6C" w:rsidP="004801E3">
      <w:pPr>
        <w:rPr>
          <w:i/>
          <w:sz w:val="28"/>
          <w:szCs w:val="28"/>
        </w:rPr>
      </w:pPr>
      <w:r>
        <w:rPr>
          <w:i/>
          <w:sz w:val="28"/>
          <w:szCs w:val="28"/>
        </w:rPr>
        <w:t>ПРЕДСЕДАТЕЛ ЧН: ДЕНИС ДИНЧЕР РЕМЗИ</w:t>
      </w:r>
    </w:p>
    <w:p w:rsidR="00615C6C" w:rsidRDefault="00615C6C" w:rsidP="004801E3">
      <w:pPr>
        <w:rPr>
          <w:i/>
          <w:sz w:val="28"/>
          <w:szCs w:val="28"/>
        </w:rPr>
      </w:pPr>
      <w:r>
        <w:rPr>
          <w:i/>
          <w:sz w:val="28"/>
          <w:szCs w:val="28"/>
        </w:rPr>
        <w:t xml:space="preserve">ЧЛЕН 1: ЮЛИЯН АНГЕЛОВ ДЕМИРЕВ </w:t>
      </w:r>
      <w:r w:rsidR="00AC319B" w:rsidRPr="004801E3">
        <w:rPr>
          <w:i/>
          <w:sz w:val="28"/>
          <w:szCs w:val="28"/>
        </w:rPr>
        <w:t xml:space="preserve">      </w:t>
      </w:r>
    </w:p>
    <w:p w:rsidR="00AC319B" w:rsidRDefault="00615C6C" w:rsidP="004801E3">
      <w:pPr>
        <w:rPr>
          <w:i/>
          <w:sz w:val="28"/>
          <w:szCs w:val="28"/>
        </w:rPr>
      </w:pPr>
      <w:r>
        <w:rPr>
          <w:i/>
          <w:sz w:val="28"/>
          <w:szCs w:val="28"/>
        </w:rPr>
        <w:t>ЧЛЕН 2: ДЖОШКУН ШЕНОЛ ШУКРИ</w:t>
      </w:r>
      <w:r w:rsidR="00AC319B" w:rsidRPr="004801E3">
        <w:rPr>
          <w:i/>
          <w:sz w:val="28"/>
          <w:szCs w:val="28"/>
        </w:rPr>
        <w:t xml:space="preserve">    </w:t>
      </w:r>
    </w:p>
    <w:p w:rsidR="00615C6C" w:rsidRDefault="00615C6C" w:rsidP="004801E3">
      <w:pPr>
        <w:rPr>
          <w:b/>
          <w:i/>
          <w:sz w:val="28"/>
          <w:szCs w:val="28"/>
        </w:rPr>
      </w:pPr>
      <w:r>
        <w:rPr>
          <w:b/>
          <w:i/>
          <w:sz w:val="28"/>
          <w:szCs w:val="28"/>
        </w:rPr>
        <w:t>ПРОВЕРИТЕЛНА КОМИСИЯ:</w:t>
      </w:r>
    </w:p>
    <w:p w:rsidR="00615C6C" w:rsidRDefault="00615C6C" w:rsidP="004801E3">
      <w:pPr>
        <w:rPr>
          <w:i/>
          <w:sz w:val="28"/>
          <w:szCs w:val="28"/>
        </w:rPr>
      </w:pPr>
      <w:r>
        <w:rPr>
          <w:i/>
          <w:sz w:val="28"/>
          <w:szCs w:val="28"/>
        </w:rPr>
        <w:t>ПРЕДСЕДАТЕЛ ПК: ЮЛИЯ МИХАЙЛОВА АЛЕКСАНДРОВА</w:t>
      </w:r>
    </w:p>
    <w:p w:rsidR="00615C6C" w:rsidRDefault="00615C6C" w:rsidP="004801E3">
      <w:pPr>
        <w:rPr>
          <w:i/>
          <w:sz w:val="28"/>
          <w:szCs w:val="28"/>
        </w:rPr>
      </w:pPr>
      <w:r>
        <w:rPr>
          <w:i/>
          <w:sz w:val="28"/>
          <w:szCs w:val="28"/>
        </w:rPr>
        <w:t>ЧЛЕН 1: АЛИ СЮЛЕЙМАНОВ ИСМАИЛОВ</w:t>
      </w:r>
    </w:p>
    <w:p w:rsidR="00615C6C" w:rsidRPr="00615C6C" w:rsidRDefault="00615C6C" w:rsidP="004801E3">
      <w:pPr>
        <w:rPr>
          <w:i/>
          <w:sz w:val="28"/>
          <w:szCs w:val="28"/>
        </w:rPr>
      </w:pPr>
      <w:r>
        <w:rPr>
          <w:i/>
          <w:sz w:val="28"/>
          <w:szCs w:val="28"/>
        </w:rPr>
        <w:t>ЧЛЕН 2: ОРХАН АЛИ АЛИ</w:t>
      </w:r>
      <w:bookmarkStart w:id="0" w:name="_GoBack"/>
      <w:bookmarkEnd w:id="0"/>
    </w:p>
    <w:sectPr w:rsidR="00615C6C" w:rsidRPr="00615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A85"/>
    <w:multiLevelType w:val="hybridMultilevel"/>
    <w:tmpl w:val="32322B52"/>
    <w:lvl w:ilvl="0" w:tplc="5352F1F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
    <w:nsid w:val="08E72EA6"/>
    <w:multiLevelType w:val="hybridMultilevel"/>
    <w:tmpl w:val="E9ECCB38"/>
    <w:lvl w:ilvl="0" w:tplc="87900478">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nsid w:val="16921FED"/>
    <w:multiLevelType w:val="hybridMultilevel"/>
    <w:tmpl w:val="49A23B7E"/>
    <w:lvl w:ilvl="0" w:tplc="51664D9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0D248CE"/>
    <w:multiLevelType w:val="hybridMultilevel"/>
    <w:tmpl w:val="3350CE6A"/>
    <w:lvl w:ilvl="0" w:tplc="96B07D10">
      <w:start w:val="1"/>
      <w:numFmt w:val="decimal"/>
      <w:lvlText w:val="%1."/>
      <w:lvlJc w:val="left"/>
      <w:pPr>
        <w:ind w:left="840" w:hanging="360"/>
      </w:pPr>
      <w:rPr>
        <w:rFonts w:hint="default"/>
        <w:i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nsid w:val="21822B79"/>
    <w:multiLevelType w:val="hybridMultilevel"/>
    <w:tmpl w:val="4EBE5CAE"/>
    <w:lvl w:ilvl="0" w:tplc="5212FA6A">
      <w:start w:val="1"/>
      <w:numFmt w:val="decimal"/>
      <w:lvlText w:val="%1."/>
      <w:lvlJc w:val="left"/>
      <w:pPr>
        <w:ind w:left="480" w:hanging="360"/>
      </w:pPr>
      <w:rPr>
        <w:rFonts w:hint="default"/>
        <w:b/>
        <w:i w:val="0"/>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nsid w:val="28266692"/>
    <w:multiLevelType w:val="hybridMultilevel"/>
    <w:tmpl w:val="F33E2D40"/>
    <w:lvl w:ilvl="0" w:tplc="8BD02990">
      <w:start w:val="1"/>
      <w:numFmt w:val="decimal"/>
      <w:lvlText w:val="%1."/>
      <w:lvlJc w:val="left"/>
      <w:pPr>
        <w:ind w:left="840" w:hanging="360"/>
      </w:pPr>
      <w:rPr>
        <w:rFonts w:hint="default"/>
        <w:i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6">
    <w:nsid w:val="3F666FFA"/>
    <w:multiLevelType w:val="hybridMultilevel"/>
    <w:tmpl w:val="E46820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5715263"/>
    <w:multiLevelType w:val="hybridMultilevel"/>
    <w:tmpl w:val="A362685E"/>
    <w:lvl w:ilvl="0" w:tplc="C24EAA88">
      <w:start w:val="5"/>
      <w:numFmt w:val="bullet"/>
      <w:lvlText w:val="-"/>
      <w:lvlJc w:val="left"/>
      <w:pPr>
        <w:ind w:left="840" w:hanging="360"/>
      </w:pPr>
      <w:rPr>
        <w:rFonts w:ascii="Calibri" w:eastAsiaTheme="minorHAnsi" w:hAnsi="Calibri" w:cs="Calibri" w:hint="default"/>
        <w:b/>
        <w:i w:val="0"/>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4D7B3E03"/>
    <w:multiLevelType w:val="hybridMultilevel"/>
    <w:tmpl w:val="01EC0622"/>
    <w:lvl w:ilvl="0" w:tplc="2DD6BEA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1F207F7"/>
    <w:multiLevelType w:val="hybridMultilevel"/>
    <w:tmpl w:val="7702F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23C341C"/>
    <w:multiLevelType w:val="hybridMultilevel"/>
    <w:tmpl w:val="01208050"/>
    <w:lvl w:ilvl="0" w:tplc="F7BA61F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5"/>
  </w:num>
  <w:num w:numId="6">
    <w:abstractNumId w:val="7"/>
  </w:num>
  <w:num w:numId="7">
    <w:abstractNumId w:val="3"/>
  </w:num>
  <w:num w:numId="8">
    <w:abstractNumId w:val="6"/>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9B"/>
    <w:rsid w:val="00010AD5"/>
    <w:rsid w:val="00043490"/>
    <w:rsid w:val="000519F6"/>
    <w:rsid w:val="00066FD1"/>
    <w:rsid w:val="000759FC"/>
    <w:rsid w:val="000B3237"/>
    <w:rsid w:val="000E6CD1"/>
    <w:rsid w:val="001E158E"/>
    <w:rsid w:val="001F001A"/>
    <w:rsid w:val="001F0FC8"/>
    <w:rsid w:val="001F6491"/>
    <w:rsid w:val="00234DF1"/>
    <w:rsid w:val="002D714D"/>
    <w:rsid w:val="00353D1E"/>
    <w:rsid w:val="00444FA1"/>
    <w:rsid w:val="004801E3"/>
    <w:rsid w:val="004D534B"/>
    <w:rsid w:val="005875D9"/>
    <w:rsid w:val="005A5B4F"/>
    <w:rsid w:val="00601F09"/>
    <w:rsid w:val="006022FF"/>
    <w:rsid w:val="00615C6C"/>
    <w:rsid w:val="00661A84"/>
    <w:rsid w:val="006A2874"/>
    <w:rsid w:val="00725404"/>
    <w:rsid w:val="007443B4"/>
    <w:rsid w:val="00747114"/>
    <w:rsid w:val="007713D0"/>
    <w:rsid w:val="00780328"/>
    <w:rsid w:val="007A5E5B"/>
    <w:rsid w:val="008215A4"/>
    <w:rsid w:val="0089040D"/>
    <w:rsid w:val="008A7199"/>
    <w:rsid w:val="008D08E0"/>
    <w:rsid w:val="0096177F"/>
    <w:rsid w:val="009B5A35"/>
    <w:rsid w:val="00AC319B"/>
    <w:rsid w:val="00AD3997"/>
    <w:rsid w:val="00AE0FDC"/>
    <w:rsid w:val="00B4080B"/>
    <w:rsid w:val="00B71560"/>
    <w:rsid w:val="00B93D9A"/>
    <w:rsid w:val="00BD16B9"/>
    <w:rsid w:val="00C96F1F"/>
    <w:rsid w:val="00CD7100"/>
    <w:rsid w:val="00D13655"/>
    <w:rsid w:val="00D40488"/>
    <w:rsid w:val="00DA6C91"/>
    <w:rsid w:val="00DD2606"/>
    <w:rsid w:val="00DE2656"/>
    <w:rsid w:val="00DF252B"/>
    <w:rsid w:val="00E05110"/>
    <w:rsid w:val="00E1471B"/>
    <w:rsid w:val="00EA226D"/>
    <w:rsid w:val="00EE634A"/>
    <w:rsid w:val="00EF713C"/>
    <w:rsid w:val="00F537DF"/>
    <w:rsid w:val="00F62E35"/>
    <w:rsid w:val="00FF29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9B"/>
    <w:pPr>
      <w:ind w:left="720"/>
      <w:contextualSpacing/>
    </w:pPr>
  </w:style>
  <w:style w:type="paragraph" w:styleId="BalloonText">
    <w:name w:val="Balloon Text"/>
    <w:basedOn w:val="Normal"/>
    <w:link w:val="BalloonTextChar"/>
    <w:uiPriority w:val="99"/>
    <w:semiHidden/>
    <w:unhideWhenUsed/>
    <w:rsid w:val="00E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9B"/>
    <w:pPr>
      <w:ind w:left="720"/>
      <w:contextualSpacing/>
    </w:pPr>
  </w:style>
  <w:style w:type="paragraph" w:styleId="BalloonText">
    <w:name w:val="Balloon Text"/>
    <w:basedOn w:val="Normal"/>
    <w:link w:val="BalloonTextChar"/>
    <w:uiPriority w:val="99"/>
    <w:semiHidden/>
    <w:unhideWhenUsed/>
    <w:rsid w:val="00E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Katq</dc:creator>
  <cp:lastModifiedBy>Katq</cp:lastModifiedBy>
  <cp:revision>2</cp:revision>
  <cp:lastPrinted>2022-03-24T13:36:00Z</cp:lastPrinted>
  <dcterms:created xsi:type="dcterms:W3CDTF">2022-03-28T11:28:00Z</dcterms:created>
  <dcterms:modified xsi:type="dcterms:W3CDTF">2022-03-28T11:28:00Z</dcterms:modified>
</cp:coreProperties>
</file>